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F81E" w14:textId="57ADC920" w:rsidR="00FE5F58" w:rsidRPr="00B45B56" w:rsidRDefault="00B45B56" w:rsidP="00B45B56">
      <w:pPr>
        <w:jc w:val="center"/>
        <w:rPr>
          <w:rFonts w:cstheme="minorHAnsi"/>
          <w:sz w:val="24"/>
          <w:szCs w:val="24"/>
        </w:rPr>
      </w:pPr>
      <w:r w:rsidRPr="00B45B56">
        <w:rPr>
          <w:rFonts w:cstheme="minorHAnsi"/>
          <w:noProof/>
          <w:sz w:val="24"/>
          <w:szCs w:val="24"/>
        </w:rPr>
        <w:drawing>
          <wp:inline distT="0" distB="0" distL="0" distR="0" wp14:anchorId="4109A6CB" wp14:editId="6F93FAAA">
            <wp:extent cx="3429479" cy="1714739"/>
            <wp:effectExtent l="0" t="0" r="0" b="0"/>
            <wp:docPr id="1226215169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15169" name="Picture 1" descr="A logo for a company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BCABA" w14:textId="730C711E" w:rsidR="00B45B56" w:rsidRPr="00B45B56" w:rsidRDefault="00B45B56" w:rsidP="00B45B56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  <w:r w:rsidRPr="00B45B56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Remedy Timesheet Policy</w:t>
      </w:r>
    </w:p>
    <w:p w14:paraId="7BC9C63A" w14:textId="1C38B522" w:rsidR="00B45B56" w:rsidRPr="00B45B56" w:rsidRDefault="00B45B56" w:rsidP="00B45B56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Update</w:t>
      </w:r>
      <w:r w:rsidR="00767EB5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: </w:t>
      </w:r>
      <w:r w:rsidRPr="00B45B5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February 2024</w:t>
      </w:r>
    </w:p>
    <w:p w14:paraId="704B70DD" w14:textId="77777777" w:rsidR="00B45B56" w:rsidRPr="00B45B56" w:rsidRDefault="00B45B56" w:rsidP="00B45B5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7B62CF6" w14:textId="72E78160" w:rsidR="00B45B56" w:rsidRPr="00B45B56" w:rsidRDefault="00B45B56" w:rsidP="00B45B56">
      <w:pPr>
        <w:spacing w:before="320" w:after="80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Objective of the Policy</w:t>
      </w:r>
    </w:p>
    <w:p w14:paraId="09DDA7A0" w14:textId="1F0A88EF" w:rsidR="00B45B56" w:rsidRPr="00B45B56" w:rsidRDefault="00B45B56" w:rsidP="00B45B56">
      <w:pPr>
        <w:spacing w:after="0" w:line="276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The purpose of th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e ‘Remedy T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imesheet 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P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olicy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’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is to create a standard company-wide timesheet procedure for accurate payroll and recordkeeping. Th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is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timesheet policy contain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s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general information for employees, and the complete procedures that employees must comply with.</w:t>
      </w:r>
    </w:p>
    <w:p w14:paraId="560448EE" w14:textId="7A422A4D" w:rsidR="00B45B56" w:rsidRPr="00B45B56" w:rsidRDefault="00B45B56" w:rsidP="00B45B56">
      <w:pPr>
        <w:spacing w:before="320" w:after="80" w:line="276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Scope of the Policy</w:t>
      </w:r>
      <w:r w:rsidRPr="00B45B5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Th</w:t>
      </w:r>
      <w:r w:rsidR="00D919B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e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‘Remedy T</w:t>
      </w:r>
      <w:r w:rsidR="00B9239D"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imesheet 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P</w:t>
      </w:r>
      <w:r w:rsidR="00B9239D"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olicy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’</w:t>
      </w:r>
      <w:r w:rsidR="00B9239D"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applies to all company employees,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including full-time, part-time, and temporary employees, for the recording of manager-authorized time off and recording work hours for non-exempt employees.</w:t>
      </w:r>
    </w:p>
    <w:p w14:paraId="7C2B452A" w14:textId="4D64A1F2" w:rsidR="00B45B56" w:rsidRPr="00B45B56" w:rsidRDefault="00B45B56" w:rsidP="00B45B56">
      <w:pPr>
        <w:spacing w:before="320" w:after="80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D919B2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General Info Regarding Policy</w:t>
      </w:r>
      <w:r w:rsidRPr="00B45B56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br/>
      </w:r>
    </w:p>
    <w:p w14:paraId="3ACAD9FE" w14:textId="0B31288F" w:rsidR="00B45B56" w:rsidRPr="00B45B56" w:rsidRDefault="00B45B56" w:rsidP="00B45B56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D919B2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:lang w:eastAsia="en-GB"/>
          <w14:ligatures w14:val="none"/>
        </w:rPr>
        <w:t>Work hour</w:t>
      </w:r>
      <w:r w:rsidRPr="00D919B2">
        <w:rPr>
          <w:rFonts w:eastAsia="Times New Roman" w:cstheme="minorHAnsi"/>
          <w:color w:val="595959" w:themeColor="text1" w:themeTint="A6"/>
          <w:kern w:val="0"/>
          <w:sz w:val="24"/>
          <w:szCs w:val="24"/>
          <w:lang w:eastAsia="en-GB"/>
          <w14:ligatures w14:val="none"/>
        </w:rPr>
        <w:t xml:space="preserve"> 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- An hour of work in the employee's workday that the supervisor or manager has authorized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 This will be stated in your contract, offer of employment or confirmation of work.</w:t>
      </w:r>
      <w:r w:rsidRPr="00B45B5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</w:p>
    <w:p w14:paraId="400E726C" w14:textId="77777777" w:rsidR="00567086" w:rsidRDefault="00B45B56" w:rsidP="00486A8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D919B2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:lang w:eastAsia="en-GB"/>
          <w14:ligatures w14:val="none"/>
        </w:rPr>
        <w:t>Workday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- A full workday consists of a predetermined number of hours within the company's operating hours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stated in your contract, offer of employment or confirmation of work.</w:t>
      </w:r>
    </w:p>
    <w:p w14:paraId="48B3C1C9" w14:textId="77777777" w:rsidR="00567086" w:rsidRDefault="00567086" w:rsidP="00567086">
      <w:pPr>
        <w:spacing w:after="0" w:line="240" w:lineRule="auto"/>
        <w:ind w:left="360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7223322A" w14:textId="08B1176F" w:rsidR="00B45B56" w:rsidRPr="00567086" w:rsidRDefault="00567086" w:rsidP="00486A88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proofErr w:type="gramStart"/>
      <w:r w:rsidRPr="00D919B2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:lang w:eastAsia="en-GB"/>
          <w14:ligatures w14:val="none"/>
        </w:rPr>
        <w:t>Client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–</w:t>
      </w:r>
      <w:proofErr w:type="gramEnd"/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6708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The client is the person</w:t>
      </w:r>
      <w:r w:rsidR="00AE134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or company</w:t>
      </w:r>
      <w:r w:rsidRPr="0056708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who is or will be receiving the services of a worker. They may also be known as the engager, </w:t>
      </w:r>
      <w:proofErr w:type="gramStart"/>
      <w:r w:rsidRPr="0056708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hirer</w:t>
      </w:r>
      <w:proofErr w:type="gramEnd"/>
      <w:r w:rsidRPr="0056708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or end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-</w:t>
      </w:r>
      <w:r w:rsidRPr="00567086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client.</w:t>
      </w:r>
    </w:p>
    <w:p w14:paraId="24112C68" w14:textId="77777777" w:rsidR="00567086" w:rsidRPr="00B45B56" w:rsidRDefault="00567086" w:rsidP="00567086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B486A72" w14:textId="6EF11A40" w:rsidR="00B45B56" w:rsidRPr="00B45B56" w:rsidRDefault="00B45B56" w:rsidP="00B45B56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D919B2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:lang w:eastAsia="en-GB"/>
          <w14:ligatures w14:val="none"/>
        </w:rPr>
        <w:t>Sick Pay</w:t>
      </w:r>
      <w:r w:rsidRPr="00D919B2">
        <w:rPr>
          <w:rFonts w:eastAsia="Times New Roman" w:cstheme="minorHAnsi"/>
          <w:color w:val="595959" w:themeColor="text1" w:themeTint="A6"/>
          <w:kern w:val="0"/>
          <w:sz w:val="24"/>
          <w:szCs w:val="24"/>
          <w:lang w:eastAsia="en-GB"/>
          <w14:ligatures w14:val="none"/>
        </w:rPr>
        <w:t xml:space="preserve"> 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–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Remedy offer Statutory sick Pay for those to</w:t>
      </w:r>
      <w:r w:rsidR="00653C2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ill to work. </w:t>
      </w:r>
      <w:r w:rsidR="00E666B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This is u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p to £109.40 per week</w:t>
      </w:r>
      <w:r w:rsidR="00165DC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paid for up to 28 weeks. Remedy do not operate a sick pay scheme. For eligibility see: </w:t>
      </w:r>
      <w:hyperlink r:id="rId8" w:history="1">
        <w:r w:rsidR="00486A88" w:rsidRPr="00A02CC1">
          <w:rPr>
            <w:rStyle w:val="Hyperlink"/>
            <w:rFonts w:eastAsia="Times New Roman" w:cstheme="minorHAnsi"/>
            <w:kern w:val="0"/>
            <w:sz w:val="24"/>
            <w:szCs w:val="24"/>
            <w:lang w:eastAsia="en-GB"/>
            <w14:ligatures w14:val="none"/>
          </w:rPr>
          <w:t>https://www.gov.uk/employers-sick-pay/eligibility-and-form-ssp1</w:t>
        </w:r>
      </w:hyperlink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428748D" w14:textId="37ED0DF5" w:rsidR="00B45B56" w:rsidRPr="00B45B56" w:rsidRDefault="00B45B56" w:rsidP="00B45B5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0F0C1699" w14:textId="299BAE55" w:rsidR="00B45B56" w:rsidRPr="00B45B56" w:rsidRDefault="00D51EA9" w:rsidP="00B45B56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hyperlink r:id="rId9" w:anchor="holiday-pay-laws" w:history="1">
        <w:r w:rsidR="00B45B56" w:rsidRPr="00D919B2">
          <w:rPr>
            <w:rFonts w:eastAsia="Times New Roman" w:cstheme="minorHAnsi"/>
            <w:b/>
            <w:bCs/>
            <w:color w:val="595959" w:themeColor="text1" w:themeTint="A6"/>
            <w:kern w:val="0"/>
            <w:sz w:val="24"/>
            <w:szCs w:val="24"/>
            <w:lang w:eastAsia="en-GB"/>
            <w14:ligatures w14:val="none"/>
          </w:rPr>
          <w:t>Holiday Pay</w:t>
        </w:r>
      </w:hyperlink>
      <w:r w:rsidR="00B45B56"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- Employees </w:t>
      </w:r>
      <w:r w:rsid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wishing to 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be paid their</w:t>
      </w:r>
      <w:r w:rsid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accrued holiday pay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must notify Remedy </w:t>
      </w:r>
      <w:r w:rsidR="00767EB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that they wish to accrue holiday and give 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at least 2 weeks prior</w:t>
      </w:r>
      <w:r w:rsidR="00767EB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notice of any holiday to be taken.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Additionally, employees can contact Remedy accounts department direct to </w:t>
      </w:r>
      <w:r w:rsidR="00653C2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</w:t>
      </w:r>
      <w:r w:rsidR="00486A88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nquire about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the amount of </w:t>
      </w:r>
      <w:r w:rsidR="00B9239D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accrued holiday pay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at any point in time</w:t>
      </w:r>
      <w:r w:rsidR="00B9239D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5DCBA919" w14:textId="5D7BBABB" w:rsidR="00B45B56" w:rsidRPr="00B45B56" w:rsidRDefault="00B45B56" w:rsidP="00B45B5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692302CA" w14:textId="4DA30ECE" w:rsidR="00B45B56" w:rsidRDefault="00B45B56" w:rsidP="00B45B56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D919B2">
        <w:rPr>
          <w:rFonts w:eastAsia="Times New Roman" w:cstheme="minorHAnsi"/>
          <w:b/>
          <w:bCs/>
          <w:color w:val="595959" w:themeColor="text1" w:themeTint="A6"/>
          <w:kern w:val="0"/>
          <w:sz w:val="24"/>
          <w:szCs w:val="24"/>
          <w:lang w:eastAsia="en-GB"/>
          <w14:ligatures w14:val="none"/>
        </w:rPr>
        <w:t>Annual leave</w:t>
      </w:r>
      <w:r w:rsidRPr="00D919B2">
        <w:rPr>
          <w:rFonts w:eastAsia="Times New Roman" w:cstheme="minorHAnsi"/>
          <w:color w:val="595959" w:themeColor="text1" w:themeTint="A6"/>
          <w:kern w:val="0"/>
          <w:sz w:val="24"/>
          <w:szCs w:val="24"/>
          <w:lang w:eastAsia="en-GB"/>
          <w14:ligatures w14:val="none"/>
        </w:rPr>
        <w:t xml:space="preserve"> 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- Employees are entitled to annual paid leave during the year</w:t>
      </w:r>
      <w:r w:rsidR="007867B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7867B9" w:rsidRPr="007867B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Most workers who work a 5-day week</w:t>
      </w:r>
      <w:r w:rsidR="007867B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will </w:t>
      </w:r>
      <w:r w:rsidR="007867B9" w:rsidRPr="007867B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receive at least 28 </w:t>
      </w:r>
      <w:r w:rsidR="00D919B2" w:rsidRPr="007867B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days</w:t>
      </w:r>
      <w:r w:rsidR="007867B9" w:rsidRPr="007867B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paid annual leave a year</w:t>
      </w:r>
      <w:r w:rsidR="00767EB5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(including bank holidays)</w:t>
      </w:r>
      <w:r w:rsidR="007867B9" w:rsidRPr="007867B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. This is the equivalent of 5.6 weeks of holiday.</w:t>
      </w:r>
      <w:r w:rsidR="007867B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Employee 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annual leave is paid just as regular workdays for the duration of their leave. </w:t>
      </w:r>
    </w:p>
    <w:p w14:paraId="0E3EEA7D" w14:textId="77777777" w:rsidR="007867B9" w:rsidRDefault="007867B9" w:rsidP="007867B9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62E53704" w14:textId="77777777" w:rsidR="007867B9" w:rsidRDefault="007867B9" w:rsidP="007867B9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5718BF7C" w14:textId="77777777" w:rsidR="007867B9" w:rsidRPr="00B45B56" w:rsidRDefault="007867B9" w:rsidP="007867B9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7F2EEFFF" w14:textId="77777777" w:rsidR="00B45B56" w:rsidRPr="00B45B56" w:rsidRDefault="00B45B56" w:rsidP="00B45B56">
      <w:pPr>
        <w:spacing w:before="360" w:after="120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Timesheet Procedures </w:t>
      </w:r>
    </w:p>
    <w:p w14:paraId="3E2C8942" w14:textId="77777777" w:rsidR="0031091B" w:rsidRPr="00397D95" w:rsidRDefault="00B45B56" w:rsidP="0031091B">
      <w:pPr>
        <w:spacing w:before="320" w:after="80" w:line="240" w:lineRule="auto"/>
        <w:outlineLvl w:val="2"/>
        <w:rPr>
          <w:rFonts w:eastAsia="Times New Roman" w:cstheme="minorHAnsi"/>
          <w:b/>
          <w:bCs/>
          <w:color w:val="434343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b/>
          <w:bCs/>
          <w:color w:val="434343"/>
          <w:kern w:val="0"/>
          <w:sz w:val="24"/>
          <w:szCs w:val="24"/>
          <w:lang w:eastAsia="en-GB"/>
          <w14:ligatures w14:val="none"/>
        </w:rPr>
        <w:t xml:space="preserve">Policy for Employees </w:t>
      </w:r>
    </w:p>
    <w:p w14:paraId="05095CBC" w14:textId="35DB7409" w:rsidR="0031091B" w:rsidRPr="0031091B" w:rsidRDefault="0031091B" w:rsidP="0031091B">
      <w:pPr>
        <w:pStyle w:val="ListParagraph"/>
        <w:numPr>
          <w:ilvl w:val="0"/>
          <w:numId w:val="12"/>
        </w:numPr>
        <w:spacing w:before="320" w:after="80" w:line="240" w:lineRule="auto"/>
        <w:outlineLvl w:val="2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31091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Employees should write their full name and surname at the top of the timesheet form as well as the pay period week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and the </w:t>
      </w:r>
      <w:r w:rsidR="0056708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client’s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name</w:t>
      </w:r>
    </w:p>
    <w:p w14:paraId="0DE1C7CD" w14:textId="41AED8F5" w:rsidR="00B45B56" w:rsidRPr="00B45B56" w:rsidRDefault="00B45B56" w:rsidP="0056708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Employees should </w:t>
      </w:r>
      <w:r w:rsidR="00653C2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mark their 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actual </w:t>
      </w:r>
      <w:r w:rsidR="00653C2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start and end times each day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, </w:t>
      </w:r>
      <w:r w:rsidR="007867B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not just what was agreed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7867B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or contracted</w:t>
      </w:r>
      <w:r w:rsidR="00B9239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by Remedy</w:t>
      </w:r>
      <w:r w:rsidR="0056708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; 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Employees who have </w:t>
      </w:r>
      <w:r w:rsidR="008B4C1B" w:rsidRPr="0056708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started late or finished early</w:t>
      </w: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should adjust their hours </w:t>
      </w:r>
      <w:r w:rsidR="008B4C1B" w:rsidRPr="0056708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on the timesheet</w:t>
      </w:r>
      <w:r w:rsidR="00B9239D" w:rsidRPr="0056708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to give a true and honest </w:t>
      </w:r>
      <w:r w:rsidR="0056708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documentation of their hours worked</w:t>
      </w:r>
    </w:p>
    <w:p w14:paraId="29BACAE2" w14:textId="17C87776" w:rsidR="00B45B56" w:rsidRPr="00B45B56" w:rsidRDefault="00B45B56" w:rsidP="00B45B5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Employees should </w:t>
      </w:r>
      <w:r w:rsidR="008B4C1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submit a separate timesheet for each </w:t>
      </w:r>
      <w:r w:rsidR="0056708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client /student </w:t>
      </w:r>
      <w:r w:rsidR="008B4C1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they are working with</w:t>
      </w:r>
    </w:p>
    <w:p w14:paraId="7E05F78C" w14:textId="449B5A66" w:rsidR="00B45B56" w:rsidRPr="00B45B56" w:rsidRDefault="00B45B56" w:rsidP="00B45B5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Employees should track their billable hour</w:t>
      </w:r>
      <w:r w:rsidR="0031091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s</w:t>
      </w:r>
    </w:p>
    <w:p w14:paraId="45F69F95" w14:textId="285754FA" w:rsidR="00B45B56" w:rsidRPr="00B45B56" w:rsidRDefault="00B45B56" w:rsidP="00B45B5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Employees should track their breaks or mealtimes as non-billable hours </w:t>
      </w:r>
    </w:p>
    <w:p w14:paraId="5462181B" w14:textId="304B826B" w:rsidR="00B45B56" w:rsidRPr="00E666BC" w:rsidRDefault="00B45B56" w:rsidP="00B45B5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Employees must submit their filled timesheets </w:t>
      </w:r>
      <w:r w:rsidR="0031091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to their manager or consultant </w:t>
      </w:r>
    </w:p>
    <w:p w14:paraId="4DC97E0F" w14:textId="7857BC79" w:rsidR="00E666BC" w:rsidRPr="00B45B56" w:rsidRDefault="00E666BC" w:rsidP="00B45B56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When specifically asked by Remedy, an employee must get a confirmation of hours </w:t>
      </w:r>
      <w:r w:rsidR="00D51EA9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>authorised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 by a third party (guardian/school etc..) to submit with their timesheet as evidence. This will in turn negate any potential discrepancies in hours delivered. </w:t>
      </w:r>
    </w:p>
    <w:p w14:paraId="7AD4A607" w14:textId="77777777" w:rsidR="00B45B56" w:rsidRPr="00B45B56" w:rsidRDefault="00B45B56" w:rsidP="00B45B56">
      <w:pPr>
        <w:spacing w:before="360" w:after="120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Employee Responsibilities</w:t>
      </w:r>
    </w:p>
    <w:p w14:paraId="1CBF15AE" w14:textId="77777777" w:rsidR="00B45B56" w:rsidRPr="00B45B56" w:rsidRDefault="00B45B56" w:rsidP="00B45B5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6B434BDA" w14:textId="0FC1D08D" w:rsidR="0031091B" w:rsidRDefault="007867B9" w:rsidP="00B45B5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1091B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E</w:t>
      </w:r>
      <w:r w:rsidR="00B45B56"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mployees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B45B56"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are asked to:</w:t>
      </w:r>
    </w:p>
    <w:p w14:paraId="225DF06D" w14:textId="77777777" w:rsidR="0031091B" w:rsidRPr="00B45B56" w:rsidRDefault="0031091B" w:rsidP="00B45B5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21A21DD4" w14:textId="08797B81" w:rsidR="00B45B56" w:rsidRPr="00B45B56" w:rsidRDefault="00B45B56" w:rsidP="00B45B56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Get </w:t>
      </w:r>
      <w:r w:rsidR="0056708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their 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work schedule </w:t>
      </w:r>
      <w:r w:rsidR="0042359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agreed by Remedy </w:t>
      </w:r>
      <w:r w:rsidR="0056708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in a </w:t>
      </w:r>
      <w:r w:rsidR="0042359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work</w:t>
      </w:r>
      <w:r w:rsidR="0056708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-</w:t>
      </w:r>
      <w:r w:rsidR="0042359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assignment </w:t>
      </w:r>
      <w:r w:rsidR="0056708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or work-</w:t>
      </w:r>
      <w:r w:rsidR="0042359A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confirmation </w:t>
      </w:r>
    </w:p>
    <w:p w14:paraId="635F0CA7" w14:textId="243B5746" w:rsidR="00B45B56" w:rsidRPr="00B45B56" w:rsidRDefault="00B45B56" w:rsidP="00B45B56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Track their total hours in the timesheet </w:t>
      </w:r>
    </w:p>
    <w:p w14:paraId="41846083" w14:textId="5F47DB97" w:rsidR="00B45B56" w:rsidRPr="00B45B56" w:rsidRDefault="008B4C1B" w:rsidP="00B45B56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Use separate</w:t>
      </w:r>
      <w:r w:rsidR="00B45B56"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</w:t>
      </w:r>
      <w:r w:rsidR="00B45B56"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imesheets for different </w:t>
      </w:r>
      <w:r w:rsidR="0056708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client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s</w:t>
      </w:r>
      <w:r w:rsidR="0056708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/students</w:t>
      </w:r>
      <w:r w:rsidR="00B45B56"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you are working with</w:t>
      </w:r>
    </w:p>
    <w:p w14:paraId="14DB928C" w14:textId="2E6C0FD3" w:rsidR="00B45B56" w:rsidRPr="00B45B56" w:rsidRDefault="00B45B56" w:rsidP="00B45B56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Submit their </w:t>
      </w:r>
      <w:r w:rsidR="00D51EA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authorised </w:t>
      </w:r>
      <w:r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timesheets </w:t>
      </w:r>
      <w:r w:rsidR="00653C22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to Remedy weekly to be paid weekly</w:t>
      </w:r>
      <w:r w:rsidR="00D51EA9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4691CFB6" w14:textId="176A6CFA" w:rsidR="00B45B56" w:rsidRPr="00B45B56" w:rsidRDefault="0042359A" w:rsidP="00B45B56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Email </w:t>
      </w:r>
      <w:r w:rsidR="0056708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their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line manager/consultant</w:t>
      </w:r>
      <w:r w:rsidR="00B45B56" w:rsidRPr="00B45B56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for permission to work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additional hours </w:t>
      </w:r>
    </w:p>
    <w:p w14:paraId="62DA6490" w14:textId="77777777" w:rsidR="00B45B56" w:rsidRPr="00B45B56" w:rsidRDefault="00B45B56" w:rsidP="00B45B56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406022D" w14:textId="77777777" w:rsidR="00B45B56" w:rsidRPr="00B45B56" w:rsidRDefault="00B45B56" w:rsidP="00B45B56">
      <w:pPr>
        <w:spacing w:before="360" w:after="120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Repercussions for Not Following the Timesheet Policy</w:t>
      </w:r>
    </w:p>
    <w:p w14:paraId="05F80CD4" w14:textId="2B632A92" w:rsidR="00B45B56" w:rsidRPr="00B45B56" w:rsidRDefault="00B45B56" w:rsidP="00B7718C">
      <w:pPr>
        <w:spacing w:before="320" w:after="80" w:line="240" w:lineRule="auto"/>
        <w:outlineLvl w:val="2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B45B56">
        <w:rPr>
          <w:rFonts w:eastAsia="Times New Roman" w:cstheme="minorHAnsi"/>
          <w:b/>
          <w:bCs/>
          <w:color w:val="434343"/>
          <w:kern w:val="0"/>
          <w:sz w:val="24"/>
          <w:szCs w:val="24"/>
          <w:lang w:eastAsia="en-GB"/>
          <w14:ligatures w14:val="none"/>
        </w:rPr>
        <w:t>Disciplinary Measures</w:t>
      </w:r>
    </w:p>
    <w:p w14:paraId="587BC8E1" w14:textId="77777777" w:rsidR="00B7718C" w:rsidRPr="00B7718C" w:rsidRDefault="00B7718C" w:rsidP="00B7718C">
      <w:p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7718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Falsifying documents is potentially a crime under the Fraud Act 2006. </w:t>
      </w:r>
    </w:p>
    <w:p w14:paraId="1FD63F20" w14:textId="77777777" w:rsidR="00B7718C" w:rsidRPr="00B7718C" w:rsidRDefault="00B7718C" w:rsidP="00B7718C">
      <w:p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7718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It can also be a crime under the Health and Safety at Work Act 1974 in the context of health and safety records. </w:t>
      </w:r>
    </w:p>
    <w:p w14:paraId="79406ADD" w14:textId="77777777" w:rsidR="00B7718C" w:rsidRPr="00B7718C" w:rsidRDefault="00B7718C" w:rsidP="00B7718C">
      <w:p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7718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Falsifying records on a timesheet is a criminal act punishable by law and can lead to timesheet fraud consequences, such as a gross misconduct charge, potential dismissal, civil liability, and criminal charges. </w:t>
      </w:r>
    </w:p>
    <w:p w14:paraId="0A6521D9" w14:textId="40BC7FF9" w:rsidR="00B45B56" w:rsidRDefault="00B7718C" w:rsidP="00B7718C">
      <w:p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 w:rsidRPr="00B7718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An employee getting money for time not worked for, can also be guilty of theft, which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is also</w:t>
      </w:r>
      <w:r w:rsidRPr="00B7718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define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>d</w:t>
      </w:r>
      <w:r w:rsidRPr="00B7718C"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as defrauding.</w:t>
      </w:r>
    </w:p>
    <w:p w14:paraId="7C2672C8" w14:textId="77777777" w:rsidR="008B4C1B" w:rsidRDefault="008B4C1B" w:rsidP="00B7718C">
      <w:pP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</w:p>
    <w:p w14:paraId="4245D28D" w14:textId="4F245D0D" w:rsidR="008B4C1B" w:rsidRDefault="008B4C1B" w:rsidP="00B7718C">
      <w:r w:rsidRPr="008B4C1B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n-GB"/>
          <w14:ligatures w14:val="none"/>
        </w:rPr>
        <w:t>Review date:</w:t>
      </w:r>
      <w:r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  <w:t xml:space="preserve"> February 2025</w:t>
      </w:r>
    </w:p>
    <w:sectPr w:rsidR="008B4C1B" w:rsidSect="00B45B5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274A" w14:textId="77777777" w:rsidR="00D919B2" w:rsidRDefault="00D919B2" w:rsidP="00D919B2">
      <w:pPr>
        <w:spacing w:after="0" w:line="240" w:lineRule="auto"/>
      </w:pPr>
      <w:r>
        <w:separator/>
      </w:r>
    </w:p>
  </w:endnote>
  <w:endnote w:type="continuationSeparator" w:id="0">
    <w:p w14:paraId="22064611" w14:textId="77777777" w:rsidR="00D919B2" w:rsidRDefault="00D919B2" w:rsidP="00D9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5F02" w14:textId="45A4899B" w:rsidR="00D919B2" w:rsidRDefault="00D919B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3FCC55" wp14:editId="2E8ECE9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00100" w14:textId="754E2DC5" w:rsidR="00D919B2" w:rsidRDefault="00D919B2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Remedy Timesheet policy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updated Feb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3FCC55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8100100" w14:textId="754E2DC5" w:rsidR="00D919B2" w:rsidRDefault="00D919B2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Remedy Timesheet policy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updated Feb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000F" w14:textId="77777777" w:rsidR="00D919B2" w:rsidRDefault="00D919B2" w:rsidP="00D919B2">
      <w:pPr>
        <w:spacing w:after="0" w:line="240" w:lineRule="auto"/>
      </w:pPr>
      <w:r>
        <w:separator/>
      </w:r>
    </w:p>
  </w:footnote>
  <w:footnote w:type="continuationSeparator" w:id="0">
    <w:p w14:paraId="43D5A657" w14:textId="77777777" w:rsidR="00D919B2" w:rsidRDefault="00D919B2" w:rsidP="00D91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006"/>
    <w:multiLevelType w:val="multilevel"/>
    <w:tmpl w:val="C39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3F2F"/>
    <w:multiLevelType w:val="multilevel"/>
    <w:tmpl w:val="4A7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75ADC"/>
    <w:multiLevelType w:val="multilevel"/>
    <w:tmpl w:val="CADC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73629"/>
    <w:multiLevelType w:val="multilevel"/>
    <w:tmpl w:val="26A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54B18"/>
    <w:multiLevelType w:val="multilevel"/>
    <w:tmpl w:val="4EC4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A4F59"/>
    <w:multiLevelType w:val="multilevel"/>
    <w:tmpl w:val="900C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B122AC"/>
    <w:multiLevelType w:val="multilevel"/>
    <w:tmpl w:val="CC7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1062B"/>
    <w:multiLevelType w:val="multilevel"/>
    <w:tmpl w:val="877A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6095F"/>
    <w:multiLevelType w:val="multilevel"/>
    <w:tmpl w:val="894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7853C7"/>
    <w:multiLevelType w:val="multilevel"/>
    <w:tmpl w:val="5C52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B7B59"/>
    <w:multiLevelType w:val="multilevel"/>
    <w:tmpl w:val="9EB6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661EF"/>
    <w:multiLevelType w:val="multilevel"/>
    <w:tmpl w:val="9726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C3669A"/>
    <w:multiLevelType w:val="multilevel"/>
    <w:tmpl w:val="E6EA2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0560C"/>
    <w:multiLevelType w:val="multilevel"/>
    <w:tmpl w:val="8C22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92EF7"/>
    <w:multiLevelType w:val="multilevel"/>
    <w:tmpl w:val="099E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D56163"/>
    <w:multiLevelType w:val="multilevel"/>
    <w:tmpl w:val="9DC8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04B4F"/>
    <w:multiLevelType w:val="multilevel"/>
    <w:tmpl w:val="9EA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689423">
    <w:abstractNumId w:val="7"/>
  </w:num>
  <w:num w:numId="2" w16cid:durableId="528375306">
    <w:abstractNumId w:val="13"/>
  </w:num>
  <w:num w:numId="3" w16cid:durableId="1377120746">
    <w:abstractNumId w:val="16"/>
  </w:num>
  <w:num w:numId="4" w16cid:durableId="1862209197">
    <w:abstractNumId w:val="4"/>
  </w:num>
  <w:num w:numId="5" w16cid:durableId="1606695959">
    <w:abstractNumId w:val="8"/>
  </w:num>
  <w:num w:numId="6" w16cid:durableId="854611876">
    <w:abstractNumId w:val="2"/>
  </w:num>
  <w:num w:numId="7" w16cid:durableId="1348605448">
    <w:abstractNumId w:val="1"/>
  </w:num>
  <w:num w:numId="8" w16cid:durableId="1979608485">
    <w:abstractNumId w:val="15"/>
  </w:num>
  <w:num w:numId="9" w16cid:durableId="1977567375">
    <w:abstractNumId w:val="5"/>
  </w:num>
  <w:num w:numId="10" w16cid:durableId="1799179544">
    <w:abstractNumId w:val="9"/>
  </w:num>
  <w:num w:numId="11" w16cid:durableId="881942736">
    <w:abstractNumId w:val="10"/>
  </w:num>
  <w:num w:numId="12" w16cid:durableId="676225463">
    <w:abstractNumId w:val="14"/>
  </w:num>
  <w:num w:numId="13" w16cid:durableId="1790783247">
    <w:abstractNumId w:val="3"/>
  </w:num>
  <w:num w:numId="14" w16cid:durableId="56704301">
    <w:abstractNumId w:val="0"/>
  </w:num>
  <w:num w:numId="15" w16cid:durableId="1583639691">
    <w:abstractNumId w:val="6"/>
  </w:num>
  <w:num w:numId="16" w16cid:durableId="402335714">
    <w:abstractNumId w:val="12"/>
  </w:num>
  <w:num w:numId="17" w16cid:durableId="769473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6"/>
    <w:rsid w:val="00092F81"/>
    <w:rsid w:val="00117837"/>
    <w:rsid w:val="00143923"/>
    <w:rsid w:val="00165DC8"/>
    <w:rsid w:val="00206C22"/>
    <w:rsid w:val="002D6C2B"/>
    <w:rsid w:val="0031091B"/>
    <w:rsid w:val="00335B9C"/>
    <w:rsid w:val="00397D95"/>
    <w:rsid w:val="00402400"/>
    <w:rsid w:val="0042359A"/>
    <w:rsid w:val="00486A88"/>
    <w:rsid w:val="00567086"/>
    <w:rsid w:val="00653C22"/>
    <w:rsid w:val="00760F86"/>
    <w:rsid w:val="00767EB5"/>
    <w:rsid w:val="007867B9"/>
    <w:rsid w:val="008B4C1B"/>
    <w:rsid w:val="00AE1346"/>
    <w:rsid w:val="00B45B56"/>
    <w:rsid w:val="00B6683B"/>
    <w:rsid w:val="00B7718C"/>
    <w:rsid w:val="00B9239D"/>
    <w:rsid w:val="00D51EA9"/>
    <w:rsid w:val="00D919B2"/>
    <w:rsid w:val="00D97418"/>
    <w:rsid w:val="00E666BC"/>
    <w:rsid w:val="00F27620"/>
    <w:rsid w:val="00FC6428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001FC"/>
  <w15:chartTrackingRefBased/>
  <w15:docId w15:val="{E922E193-31FC-4343-8CE5-9B592143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5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45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45B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5B5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45B5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45B56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5B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A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9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9B2"/>
  </w:style>
  <w:style w:type="paragraph" w:styleId="Footer">
    <w:name w:val="footer"/>
    <w:basedOn w:val="Normal"/>
    <w:link w:val="FooterChar"/>
    <w:uiPriority w:val="99"/>
    <w:unhideWhenUsed/>
    <w:rsid w:val="00D9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employers-sick-pay/eligibility-and-form-ssp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pcounsel.com/holiday-pay-la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Remedy Timesheet policy</vt:lpstr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Remedy Timesheet policy</dc:title>
  <dc:subject>updated Feb 2024</dc:subject>
  <dc:creator>Dean Pomeroy</dc:creator>
  <cp:keywords/>
  <dc:description/>
  <cp:lastModifiedBy>Dean Pomeroy</cp:lastModifiedBy>
  <cp:revision>8</cp:revision>
  <dcterms:created xsi:type="dcterms:W3CDTF">2024-02-19T12:46:00Z</dcterms:created>
  <dcterms:modified xsi:type="dcterms:W3CDTF">2024-02-21T09:59:00Z</dcterms:modified>
</cp:coreProperties>
</file>